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2E2E8966"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 xml:space="preserve">3GPP TSG RAN WG1 </w:t>
      </w:r>
      <w:r w:rsidR="00846430">
        <w:rPr>
          <w:rFonts w:ascii="Arial" w:eastAsia="ＭＳ 明朝" w:hAnsi="Arial"/>
          <w:b/>
          <w:noProof/>
          <w:lang w:val="en-US"/>
        </w:rPr>
        <w:t xml:space="preserve">Ad-Hoc </w:t>
      </w:r>
      <w:r w:rsidRPr="009A4263">
        <w:rPr>
          <w:rFonts w:ascii="Arial" w:eastAsia="ＭＳ 明朝" w:hAnsi="Arial"/>
          <w:b/>
          <w:noProof/>
          <w:lang w:val="en-US"/>
        </w:rPr>
        <w:t xml:space="preserve">Meeting </w:t>
      </w:r>
      <w:r w:rsidR="00846430">
        <w:rPr>
          <w:rFonts w:ascii="Arial" w:eastAsia="ＭＳ 明朝" w:hAnsi="Arial"/>
          <w:b/>
          <w:noProof/>
          <w:lang w:val="en-US"/>
        </w:rPr>
        <w:t>1901</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846430">
        <w:rPr>
          <w:rFonts w:ascii="Arial" w:eastAsia="ＭＳ 明朝" w:hAnsi="Arial"/>
          <w:b/>
          <w:noProof/>
          <w:lang w:val="en-US" w:eastAsia="x-none"/>
        </w:rPr>
        <w:t>9</w:t>
      </w:r>
      <w:r w:rsidR="00404136">
        <w:rPr>
          <w:rFonts w:ascii="Arial" w:eastAsia="ＭＳ 明朝" w:hAnsi="Arial"/>
          <w:b/>
          <w:noProof/>
          <w:lang w:val="en-US" w:eastAsia="x-none"/>
        </w:rPr>
        <w:t>0098</w:t>
      </w:r>
      <w:r w:rsidR="001376DF">
        <w:rPr>
          <w:rFonts w:ascii="Arial" w:eastAsia="ＭＳ 明朝" w:hAnsi="Arial"/>
          <w:b/>
          <w:noProof/>
          <w:lang w:val="en-US" w:eastAsia="x-none"/>
        </w:rPr>
        <w:t>5</w:t>
      </w:r>
      <w:bookmarkStart w:id="1" w:name="_GoBack"/>
      <w:bookmarkEnd w:id="1"/>
    </w:p>
    <w:p w14:paraId="02716EEC" w14:textId="426B3B19" w:rsidR="005F64A2" w:rsidRPr="005F64A2" w:rsidRDefault="00846430" w:rsidP="005F64A2">
      <w:pPr>
        <w:pStyle w:val="a7"/>
        <w:rPr>
          <w:sz w:val="24"/>
          <w:lang w:val="en-US"/>
        </w:rPr>
      </w:pPr>
      <w:r>
        <w:rPr>
          <w:sz w:val="24"/>
          <w:lang w:val="en-US"/>
        </w:rPr>
        <w:t xml:space="preserve">Taipei, </w:t>
      </w:r>
      <w:r w:rsidR="00625434" w:rsidRPr="0070697C">
        <w:rPr>
          <w:sz w:val="24"/>
          <w:lang w:val="en-US"/>
        </w:rPr>
        <w:t>2</w:t>
      </w:r>
      <w:r>
        <w:rPr>
          <w:sz w:val="24"/>
          <w:lang w:val="en-US"/>
        </w:rPr>
        <w:t>1st</w:t>
      </w:r>
      <w:r w:rsidR="00625434" w:rsidRPr="0070697C">
        <w:rPr>
          <w:sz w:val="24"/>
          <w:lang w:val="en-US"/>
        </w:rPr>
        <w:t xml:space="preserve"> – 2</w:t>
      </w:r>
      <w:r>
        <w:rPr>
          <w:sz w:val="24"/>
          <w:lang w:val="en-US"/>
        </w:rPr>
        <w:t>5</w:t>
      </w:r>
      <w:r w:rsidR="00625434" w:rsidRPr="0070697C">
        <w:rPr>
          <w:sz w:val="24"/>
          <w:lang w:val="en-US"/>
        </w:rPr>
        <w:t>th</w:t>
      </w:r>
      <w:r>
        <w:rPr>
          <w:sz w:val="24"/>
          <w:lang w:val="en-US"/>
        </w:rPr>
        <w:t xml:space="preserve"> Janurary, </w:t>
      </w:r>
      <w:r w:rsidR="00625434" w:rsidRPr="00557A07">
        <w:rPr>
          <w:sz w:val="24"/>
          <w:lang w:val="en-US"/>
        </w:rPr>
        <w:t>201</w:t>
      </w:r>
      <w:r>
        <w:rPr>
          <w:sz w:val="24"/>
          <w:lang w:val="en-US"/>
        </w:rPr>
        <w:t>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F7766F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11DBC">
        <w:rPr>
          <w:sz w:val="24"/>
          <w:lang w:val="en-US" w:eastAsia="ja-JP"/>
        </w:rPr>
        <w:t>Potential enhancements to single Tx switched uplink for EN-DC</w:t>
      </w:r>
    </w:p>
    <w:bookmarkEnd w:id="2"/>
    <w:bookmarkEnd w:id="3"/>
    <w:bookmarkEnd w:id="4"/>
    <w:bookmarkEnd w:id="5"/>
    <w:p w14:paraId="02FF14B3" w14:textId="2962923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846430">
        <w:rPr>
          <w:sz w:val="24"/>
          <w:lang w:val="en-US" w:eastAsia="ja-JP"/>
        </w:rPr>
        <w:t>13</w:t>
      </w:r>
      <w:r w:rsidR="00A73A52">
        <w:rPr>
          <w:sz w:val="24"/>
          <w:lang w:val="en-US" w:eastAsia="ja-JP"/>
        </w:rPr>
        <w:t>.</w:t>
      </w:r>
      <w:r w:rsidR="00511DBC">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7C6B6674" w:rsidR="0036189E" w:rsidRPr="0036189E" w:rsidRDefault="00846430" w:rsidP="00115EAD">
      <w:pPr>
        <w:spacing w:afterLines="50" w:after="120"/>
        <w:jc w:val="both"/>
        <w:rPr>
          <w:rFonts w:eastAsiaTheme="minorEastAsia"/>
          <w:sz w:val="22"/>
        </w:rPr>
      </w:pPr>
      <w:r>
        <w:rPr>
          <w:rFonts w:eastAsiaTheme="minorEastAsia"/>
          <w:sz w:val="22"/>
        </w:rPr>
        <w:t>At the RAN#81 meeting, WI on Multi-RAT Dual-Connectivity and Carrier Aggregation enhancements was approved which includes following objective [1]:</w:t>
      </w:r>
    </w:p>
    <w:tbl>
      <w:tblPr>
        <w:tblStyle w:val="afc"/>
        <w:tblW w:w="0" w:type="auto"/>
        <w:tblInd w:w="-5" w:type="dxa"/>
        <w:tblLook w:val="04A0" w:firstRow="1" w:lastRow="0" w:firstColumn="1" w:lastColumn="0" w:noHBand="0" w:noVBand="1"/>
      </w:tblPr>
      <w:tblGrid>
        <w:gridCol w:w="9967"/>
      </w:tblGrid>
      <w:tr w:rsidR="0036189E" w:rsidRPr="00511DBC" w14:paraId="690FEA62" w14:textId="77777777" w:rsidTr="00285500">
        <w:tc>
          <w:tcPr>
            <w:tcW w:w="9967" w:type="dxa"/>
          </w:tcPr>
          <w:p w14:paraId="3A13FBCC" w14:textId="77777777" w:rsidR="00511DBC" w:rsidRPr="00511DBC" w:rsidRDefault="00511DBC" w:rsidP="00051EF8">
            <w:pPr>
              <w:numPr>
                <w:ilvl w:val="0"/>
                <w:numId w:val="22"/>
              </w:numPr>
              <w:spacing w:after="0"/>
              <w:ind w:left="720" w:hanging="360"/>
              <w:jc w:val="both"/>
              <w:rPr>
                <w:bCs/>
                <w:sz w:val="22"/>
                <w:lang w:val="en-US"/>
              </w:rPr>
            </w:pPr>
            <w:r w:rsidRPr="00511DBC">
              <w:rPr>
                <w:bCs/>
                <w:sz w:val="22"/>
                <w:lang w:val="en-US"/>
              </w:rPr>
              <w:t>Study and, if found beneficial over the existing single Tx switched uplink solution, specify enhancements to single Tx switched uplink solution for EN-DC, such as allowing all DL and UL subframes for data transmission for both NR and LTE. [RAN1].</w:t>
            </w:r>
          </w:p>
          <w:p w14:paraId="2BAF890B" w14:textId="77777777" w:rsidR="00511DBC" w:rsidRPr="00511DBC" w:rsidRDefault="00511DBC" w:rsidP="00511DBC">
            <w:pPr>
              <w:spacing w:after="0"/>
              <w:ind w:left="720"/>
              <w:jc w:val="both"/>
              <w:rPr>
                <w:bCs/>
                <w:sz w:val="22"/>
                <w:lang w:val="en-US"/>
              </w:rPr>
            </w:pPr>
          </w:p>
          <w:p w14:paraId="1CCFC045" w14:textId="2EAAC0CD" w:rsidR="0036189E" w:rsidRPr="00511DBC" w:rsidRDefault="00511DBC" w:rsidP="00511DBC">
            <w:pPr>
              <w:tabs>
                <w:tab w:val="num" w:pos="709"/>
                <w:tab w:val="num" w:pos="2160"/>
              </w:tabs>
              <w:spacing w:after="0"/>
              <w:ind w:left="720"/>
              <w:jc w:val="both"/>
              <w:rPr>
                <w:bCs/>
                <w:sz w:val="22"/>
                <w:lang w:val="en-US"/>
              </w:rPr>
            </w:pPr>
            <w:r w:rsidRPr="00511DBC">
              <w:rPr>
                <w:bCs/>
                <w:sz w:val="22"/>
                <w:lang w:val="en-US"/>
              </w:rPr>
              <w:t>Note: UE in single Tx switched uplink mode is not expected to be scheduled simultaneous transmission on MCG and SCG</w:t>
            </w:r>
          </w:p>
        </w:tc>
      </w:tr>
    </w:tbl>
    <w:p w14:paraId="21A9C9BD" w14:textId="77777777" w:rsidR="00846430" w:rsidRPr="00846430" w:rsidRDefault="00846430" w:rsidP="00846430">
      <w:pPr>
        <w:spacing w:afterLines="50" w:after="120"/>
        <w:jc w:val="both"/>
        <w:rPr>
          <w:rFonts w:eastAsiaTheme="minorEastAsia"/>
          <w:sz w:val="22"/>
        </w:rPr>
      </w:pPr>
    </w:p>
    <w:p w14:paraId="1C2CD813" w14:textId="07F3636F" w:rsidR="00846430" w:rsidRP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present our views on this aspect.</w:t>
      </w:r>
    </w:p>
    <w:p w14:paraId="72D63D9D" w14:textId="0E699E97" w:rsidR="00972C4A" w:rsidRDefault="002D30EE" w:rsidP="002361AC">
      <w:pPr>
        <w:pStyle w:val="1"/>
        <w:numPr>
          <w:ilvl w:val="0"/>
          <w:numId w:val="6"/>
        </w:numPr>
        <w:spacing w:after="120"/>
        <w:jc w:val="both"/>
        <w:rPr>
          <w:rFonts w:eastAsia="DengXian"/>
          <w:b/>
          <w:lang w:val="en-US" w:eastAsia="zh-CN"/>
        </w:rPr>
      </w:pPr>
      <w:r>
        <w:rPr>
          <w:rFonts w:eastAsia="DengXian"/>
          <w:b/>
          <w:lang w:val="en-US" w:eastAsia="zh-CN"/>
        </w:rPr>
        <w:t>Discussions</w:t>
      </w:r>
    </w:p>
    <w:p w14:paraId="04F5B17E" w14:textId="5591B58A" w:rsidR="002D30EE" w:rsidRDefault="002D30EE" w:rsidP="002D30EE">
      <w:pPr>
        <w:spacing w:afterLines="50" w:after="120"/>
        <w:jc w:val="both"/>
        <w:rPr>
          <w:rFonts w:eastAsiaTheme="minorEastAsia"/>
          <w:sz w:val="22"/>
        </w:rPr>
      </w:pPr>
      <w:r w:rsidRPr="007A1630">
        <w:rPr>
          <w:rFonts w:eastAsiaTheme="minorEastAsia" w:hint="eastAsia"/>
          <w:sz w:val="22"/>
        </w:rPr>
        <w:t>I</w:t>
      </w:r>
      <w:r w:rsidRPr="007A1630">
        <w:rPr>
          <w:rFonts w:eastAsiaTheme="minorEastAsia"/>
          <w:sz w:val="22"/>
        </w:rPr>
        <w:t xml:space="preserve">n Rel.15 </w:t>
      </w:r>
      <w:r w:rsidR="001115B3">
        <w:rPr>
          <w:rFonts w:eastAsiaTheme="minorEastAsia" w:hint="eastAsia"/>
          <w:sz w:val="22"/>
        </w:rPr>
        <w:t xml:space="preserve">EN-DC single Tx switched uplink solution, there are some restrictions in the specifications, </w:t>
      </w:r>
      <w:r w:rsidR="00692AEE">
        <w:rPr>
          <w:rFonts w:eastAsiaTheme="minorEastAsia" w:hint="eastAsia"/>
          <w:sz w:val="22"/>
        </w:rPr>
        <w:t>such as following:</w:t>
      </w:r>
    </w:p>
    <w:p w14:paraId="3E4BA458" w14:textId="08D74242"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the UE is not expected to transmit UL in the serving cell on subframes other than offset-UL subframes</w:t>
      </w:r>
    </w:p>
    <w:p w14:paraId="2F46C8A6" w14:textId="4C597484"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xml:space="preserve">, the UE is not </w:t>
      </w:r>
      <w:r>
        <w:rPr>
          <w:rFonts w:eastAsiaTheme="minorEastAsia"/>
          <w:sz w:val="22"/>
        </w:rPr>
        <w:t>expected</w:t>
      </w:r>
      <w:r>
        <w:rPr>
          <w:rFonts w:eastAsiaTheme="minorEastAsia" w:hint="eastAsia"/>
          <w:sz w:val="22"/>
        </w:rPr>
        <w:t xml:space="preserve"> to be configured with more than one UL serving cell</w:t>
      </w:r>
      <w:r w:rsidR="00A41E17">
        <w:rPr>
          <w:rFonts w:eastAsiaTheme="minorEastAsia"/>
          <w:sz w:val="22"/>
        </w:rPr>
        <w:t xml:space="preserve"> for LTE</w:t>
      </w:r>
      <w:r>
        <w:rPr>
          <w:rFonts w:eastAsiaTheme="minorEastAsia" w:hint="eastAsia"/>
          <w:sz w:val="22"/>
        </w:rPr>
        <w:t>.</w:t>
      </w:r>
    </w:p>
    <w:p w14:paraId="5B9E22A5" w14:textId="661B3097"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the UE is not expected to receive PHICH on the serving cell.</w:t>
      </w:r>
    </w:p>
    <w:p w14:paraId="2249715D" w14:textId="3C23EE4B"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xml:space="preserve">, </w:t>
      </w:r>
      <w:r w:rsidR="006A41E7">
        <w:rPr>
          <w:rFonts w:eastAsiaTheme="minorEastAsia" w:hint="eastAsia"/>
          <w:sz w:val="22"/>
        </w:rPr>
        <w:t>the UE is not expected to be configured with CIF in any serving cells.</w:t>
      </w:r>
    </w:p>
    <w:p w14:paraId="2F60413F" w14:textId="28E23350" w:rsidR="006A41E7" w:rsidRPr="00692AEE" w:rsidRDefault="006A41E7"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TDD-</w:t>
      </w:r>
      <w:proofErr w:type="spellStart"/>
      <w:r>
        <w:rPr>
          <w:rFonts w:eastAsiaTheme="minorEastAsia" w:hint="eastAsia"/>
          <w:sz w:val="22"/>
        </w:rPr>
        <w:t>PCell</w:t>
      </w:r>
      <w:proofErr w:type="spellEnd"/>
      <w:r>
        <w:rPr>
          <w:rFonts w:eastAsiaTheme="minorEastAsia" w:hint="eastAsia"/>
          <w:sz w:val="22"/>
        </w:rPr>
        <w:t>,</w:t>
      </w:r>
      <w:r w:rsidR="0037737A">
        <w:rPr>
          <w:rFonts w:eastAsiaTheme="minorEastAsia" w:hint="eastAsia"/>
          <w:sz w:val="22"/>
        </w:rPr>
        <w:t xml:space="preserve"> there is no specification where </w:t>
      </w:r>
      <w:r w:rsidR="0037737A" w:rsidRPr="0037737A">
        <w:rPr>
          <w:rFonts w:eastAsiaTheme="minorEastAsia" w:hint="eastAsia"/>
          <w:i/>
          <w:sz w:val="22"/>
        </w:rPr>
        <w:t>subframeAssignment-r15</w:t>
      </w:r>
      <w:r w:rsidR="0037737A">
        <w:rPr>
          <w:rFonts w:eastAsiaTheme="minorEastAsia" w:hint="eastAsia"/>
          <w:sz w:val="22"/>
        </w:rPr>
        <w:t xml:space="preserve"> is configured.</w:t>
      </w:r>
    </w:p>
    <w:p w14:paraId="0BF28EF5" w14:textId="368C7213" w:rsidR="00692AEE" w:rsidRDefault="00692AEE" w:rsidP="0037737A">
      <w:pPr>
        <w:spacing w:afterLines="50" w:after="120"/>
        <w:jc w:val="both"/>
        <w:rPr>
          <w:rFonts w:eastAsiaTheme="minorEastAsia"/>
          <w:sz w:val="22"/>
        </w:rPr>
      </w:pPr>
    </w:p>
    <w:p w14:paraId="4CB5A3F6" w14:textId="42D498C6" w:rsidR="00C40F4A" w:rsidRDefault="00C40F4A" w:rsidP="0037737A">
      <w:pPr>
        <w:spacing w:afterLines="50" w:after="120"/>
        <w:jc w:val="both"/>
        <w:rPr>
          <w:rFonts w:eastAsiaTheme="minorEastAsia"/>
          <w:sz w:val="22"/>
        </w:rPr>
      </w:pPr>
      <w:r>
        <w:rPr>
          <w:rFonts w:eastAsiaTheme="minorEastAsia" w:hint="eastAsia"/>
          <w:sz w:val="22"/>
        </w:rPr>
        <w:t>Among them, we consider following enhancements should be available in Rel.16.</w:t>
      </w:r>
    </w:p>
    <w:p w14:paraId="0B207ABE" w14:textId="77777777" w:rsidR="00EC1F0A" w:rsidRPr="007A1630" w:rsidRDefault="00EC1F0A" w:rsidP="002D30EE">
      <w:pPr>
        <w:spacing w:afterLines="50" w:after="120"/>
        <w:jc w:val="both"/>
        <w:rPr>
          <w:rFonts w:eastAsiaTheme="minorEastAsia"/>
          <w:sz w:val="22"/>
        </w:rPr>
      </w:pPr>
    </w:p>
    <w:p w14:paraId="5F03BB40" w14:textId="7C20799B" w:rsidR="00B741DC" w:rsidRPr="007C3B59" w:rsidRDefault="00B741DC" w:rsidP="00E8048D">
      <w:pPr>
        <w:pStyle w:val="2"/>
        <w:rPr>
          <w:rFonts w:eastAsia="DengXian"/>
          <w:b/>
          <w:lang w:val="en-US" w:eastAsia="zh-CN"/>
        </w:rPr>
      </w:pPr>
      <w:r w:rsidRPr="00E8048D">
        <w:rPr>
          <w:rFonts w:eastAsia="DengXian"/>
          <w:b/>
          <w:lang w:val="en-US" w:eastAsia="zh-CN"/>
        </w:rPr>
        <w:t>2.1</w:t>
      </w:r>
      <w:r w:rsidRPr="00E8048D">
        <w:rPr>
          <w:rFonts w:eastAsia="DengXian"/>
          <w:b/>
          <w:lang w:val="en-US" w:eastAsia="zh-CN"/>
        </w:rPr>
        <w:tab/>
      </w:r>
      <w:r w:rsidR="00C40F4A" w:rsidRPr="007C3B59">
        <w:rPr>
          <w:rFonts w:eastAsia="DengXian" w:hint="eastAsia"/>
          <w:b/>
          <w:lang w:val="en-US" w:eastAsia="zh-CN"/>
        </w:rPr>
        <w:t>LTE UL-CA for EN-DC with DL-reference UL-DL configuration</w:t>
      </w:r>
    </w:p>
    <w:p w14:paraId="7D1345D8" w14:textId="0BB54E78" w:rsidR="00846430" w:rsidRDefault="00C40F4A" w:rsidP="00972C4A">
      <w:pPr>
        <w:spacing w:afterLines="50" w:after="120"/>
        <w:jc w:val="both"/>
        <w:rPr>
          <w:rFonts w:eastAsiaTheme="minorEastAsia"/>
          <w:sz w:val="22"/>
          <w:lang w:val="en-US"/>
        </w:rPr>
      </w:pPr>
      <w:r>
        <w:rPr>
          <w:rFonts w:eastAsiaTheme="minorEastAsia" w:hint="eastAsia"/>
          <w:sz w:val="22"/>
          <w:lang w:val="en-US"/>
        </w:rPr>
        <w:t xml:space="preserve">As described </w:t>
      </w:r>
      <w:r w:rsidR="00B002FE">
        <w:rPr>
          <w:rFonts w:eastAsiaTheme="minorEastAsia" w:hint="eastAsia"/>
          <w:sz w:val="22"/>
          <w:lang w:val="en-US"/>
        </w:rPr>
        <w:t>i</w:t>
      </w:r>
      <w:r w:rsidR="00B002FE">
        <w:rPr>
          <w:rFonts w:eastAsiaTheme="minorEastAsia"/>
          <w:sz w:val="22"/>
          <w:lang w:val="en-US"/>
        </w:rPr>
        <w:t>n 2</w:t>
      </w:r>
      <w:r w:rsidR="00B002FE" w:rsidRPr="00B002FE">
        <w:rPr>
          <w:rFonts w:eastAsiaTheme="minorEastAsia"/>
          <w:sz w:val="22"/>
          <w:vertAlign w:val="superscript"/>
          <w:lang w:val="en-US"/>
        </w:rPr>
        <w:t>nd</w:t>
      </w:r>
      <w:r w:rsidR="00B002FE">
        <w:rPr>
          <w:rFonts w:eastAsiaTheme="minorEastAsia"/>
          <w:sz w:val="22"/>
          <w:lang w:val="en-US"/>
        </w:rPr>
        <w:t xml:space="preserve"> point above, LTE UL-CA is not supported for EN-DC and FDD-</w:t>
      </w:r>
      <w:proofErr w:type="spellStart"/>
      <w:r w:rsidR="00B002FE">
        <w:rPr>
          <w:rFonts w:eastAsiaTheme="minorEastAsia"/>
          <w:sz w:val="22"/>
          <w:lang w:val="en-US"/>
        </w:rPr>
        <w:t>PCell</w:t>
      </w:r>
      <w:proofErr w:type="spellEnd"/>
      <w:r w:rsidR="00B002FE">
        <w:rPr>
          <w:rFonts w:eastAsiaTheme="minorEastAsia"/>
          <w:sz w:val="22"/>
          <w:lang w:val="en-US"/>
        </w:rPr>
        <w:t xml:space="preserve"> with </w:t>
      </w:r>
      <w:r w:rsidR="00B002FE" w:rsidRPr="00B002FE">
        <w:rPr>
          <w:rFonts w:eastAsiaTheme="minorEastAsia"/>
          <w:i/>
          <w:sz w:val="22"/>
          <w:lang w:val="en-US"/>
        </w:rPr>
        <w:t>suframeAssignment-r15</w:t>
      </w:r>
      <w:r w:rsidR="00B002FE">
        <w:rPr>
          <w:rFonts w:eastAsiaTheme="minorEastAsia"/>
          <w:sz w:val="22"/>
          <w:lang w:val="en-US"/>
        </w:rPr>
        <w:t xml:space="preserve"> (DL-reference UL-DL configuration). However, this is unnecessary restriction and degrades the UE performance. One example i</w:t>
      </w:r>
      <w:r w:rsidR="009C501E">
        <w:rPr>
          <w:rFonts w:eastAsiaTheme="minorEastAsia"/>
          <w:sz w:val="22"/>
          <w:lang w:val="en-US"/>
        </w:rPr>
        <w:t>s</w:t>
      </w:r>
      <w:r w:rsidR="00B002FE">
        <w:rPr>
          <w:rFonts w:eastAsiaTheme="minorEastAsia"/>
          <w:sz w:val="22"/>
          <w:lang w:val="en-US"/>
        </w:rPr>
        <w:t xml:space="preserve"> </w:t>
      </w:r>
      <w:r w:rsidR="009C501E">
        <w:rPr>
          <w:rFonts w:eastAsiaTheme="minorEastAsia"/>
          <w:sz w:val="22"/>
          <w:lang w:val="en-US"/>
        </w:rPr>
        <w:t xml:space="preserve">application of </w:t>
      </w:r>
      <w:r w:rsidR="00B002FE">
        <w:rPr>
          <w:rFonts w:eastAsiaTheme="minorEastAsia"/>
          <w:sz w:val="22"/>
          <w:lang w:val="en-US"/>
        </w:rPr>
        <w:t xml:space="preserve">intra-band UL-CA for LTE </w:t>
      </w:r>
      <w:r w:rsidR="009C501E">
        <w:rPr>
          <w:rFonts w:eastAsiaTheme="minorEastAsia"/>
          <w:sz w:val="22"/>
          <w:lang w:val="en-US"/>
        </w:rPr>
        <w:t>band</w:t>
      </w:r>
      <w:r w:rsidR="00B002FE">
        <w:rPr>
          <w:rFonts w:eastAsiaTheme="minorEastAsia"/>
          <w:sz w:val="22"/>
          <w:lang w:val="en-US"/>
        </w:rPr>
        <w:t xml:space="preserve">. </w:t>
      </w:r>
      <w:r w:rsidR="009C501E">
        <w:rPr>
          <w:rFonts w:eastAsiaTheme="minorEastAsia"/>
          <w:sz w:val="22"/>
          <w:lang w:val="en-US"/>
        </w:rPr>
        <w:t>EN-DC band combinations where s</w:t>
      </w:r>
      <w:r w:rsidR="00B002FE">
        <w:rPr>
          <w:rFonts w:eastAsiaTheme="minorEastAsia"/>
          <w:sz w:val="22"/>
          <w:lang w:val="en-US"/>
        </w:rPr>
        <w:t>ingle UL is allowed</w:t>
      </w:r>
      <w:r w:rsidR="009C501E">
        <w:rPr>
          <w:rFonts w:eastAsiaTheme="minorEastAsia"/>
          <w:sz w:val="22"/>
          <w:lang w:val="en-US"/>
        </w:rPr>
        <w:t xml:space="preserve"> are specified in </w:t>
      </w:r>
      <w:r w:rsidR="00B002FE">
        <w:rPr>
          <w:rFonts w:eastAsiaTheme="minorEastAsia"/>
          <w:sz w:val="22"/>
          <w:lang w:val="en-US"/>
        </w:rPr>
        <w:t>[</w:t>
      </w:r>
      <w:r w:rsidR="002F15C0">
        <w:rPr>
          <w:rFonts w:eastAsiaTheme="minorEastAsia"/>
          <w:sz w:val="22"/>
          <w:lang w:val="en-US"/>
        </w:rPr>
        <w:t>2</w:t>
      </w:r>
      <w:r w:rsidR="00B002FE">
        <w:rPr>
          <w:rFonts w:eastAsiaTheme="minorEastAsia"/>
          <w:sz w:val="22"/>
          <w:lang w:val="en-US"/>
        </w:rPr>
        <w:t>]</w:t>
      </w:r>
      <w:r w:rsidR="009C501E">
        <w:rPr>
          <w:rFonts w:eastAsiaTheme="minorEastAsia"/>
          <w:sz w:val="22"/>
          <w:lang w:val="en-US"/>
        </w:rPr>
        <w:t>. This is because applicability of simultaneous UL transmissions is determined per EN-DC band combinations. For a given EN-DC band combination, whether to perform intra-band UL-CA in the LTE band is not the matter of the applicability. For such case, once RAN4 spec is available, intra-band UL CA in the LTE band should be possible.</w:t>
      </w:r>
    </w:p>
    <w:p w14:paraId="791AA86E" w14:textId="094240C7" w:rsidR="009C501E" w:rsidRDefault="009C501E" w:rsidP="00972C4A">
      <w:pPr>
        <w:spacing w:afterLines="50" w:after="120"/>
        <w:jc w:val="both"/>
        <w:rPr>
          <w:rFonts w:eastAsiaTheme="minorEastAsia"/>
          <w:sz w:val="22"/>
          <w:lang w:val="en-US"/>
        </w:rPr>
      </w:pPr>
      <w:r w:rsidRPr="009C501E">
        <w:rPr>
          <w:noProof/>
        </w:rPr>
        <w:lastRenderedPageBreak/>
        <w:drawing>
          <wp:inline distT="0" distB="0" distL="0" distR="0" wp14:anchorId="06F3C8CB" wp14:editId="641B2745">
            <wp:extent cx="6332220" cy="278828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788285"/>
                    </a:xfrm>
                    <a:prstGeom prst="rect">
                      <a:avLst/>
                    </a:prstGeom>
                    <a:noFill/>
                    <a:ln>
                      <a:noFill/>
                    </a:ln>
                  </pic:spPr>
                </pic:pic>
              </a:graphicData>
            </a:graphic>
          </wp:inline>
        </w:drawing>
      </w:r>
    </w:p>
    <w:p w14:paraId="7DE9303A" w14:textId="02040F8A" w:rsidR="009C501E" w:rsidRDefault="009C501E" w:rsidP="009C501E">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1</w:t>
      </w:r>
      <w:r>
        <w:rPr>
          <w:rFonts w:eastAsiaTheme="minorEastAsia"/>
          <w:sz w:val="22"/>
          <w:lang w:val="en-US"/>
        </w:rPr>
        <w:tab/>
        <w:t>Example of EN-DC with FDD-</w:t>
      </w:r>
      <w:proofErr w:type="spellStart"/>
      <w:r>
        <w:rPr>
          <w:rFonts w:eastAsiaTheme="minorEastAsia"/>
          <w:sz w:val="22"/>
          <w:lang w:val="en-US"/>
        </w:rPr>
        <w:t>PCell</w:t>
      </w:r>
      <w:proofErr w:type="spellEnd"/>
      <w:r>
        <w:rPr>
          <w:rFonts w:eastAsiaTheme="minorEastAsia"/>
          <w:sz w:val="22"/>
          <w:lang w:val="en-US"/>
        </w:rPr>
        <w:t xml:space="preserve"> and LTE intra-band UL-CA.</w:t>
      </w:r>
    </w:p>
    <w:p w14:paraId="703E3B8D" w14:textId="47D3467C" w:rsidR="009C501E" w:rsidRDefault="009C501E" w:rsidP="00972C4A">
      <w:pPr>
        <w:spacing w:afterLines="50" w:after="120"/>
        <w:jc w:val="both"/>
        <w:rPr>
          <w:rFonts w:eastAsiaTheme="minorEastAsia"/>
          <w:sz w:val="22"/>
          <w:lang w:val="en-US"/>
        </w:rPr>
      </w:pPr>
    </w:p>
    <w:p w14:paraId="0F43DF10" w14:textId="18CD6D3D" w:rsidR="002C288A" w:rsidRPr="002C288A" w:rsidRDefault="002C288A" w:rsidP="00972C4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roposal 1:</w:t>
      </w:r>
    </w:p>
    <w:p w14:paraId="1BE46B2B" w14:textId="69FA43FB" w:rsid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LTE UL-CA for EN-DC with DL-reference UL-DL configuration on LTE serving cell.</w:t>
      </w:r>
    </w:p>
    <w:p w14:paraId="29E221D6" w14:textId="4DD50962" w:rsidR="002C288A" w:rsidRPr="002C288A" w:rsidRDefault="002C288A" w:rsidP="00972C4A">
      <w:pPr>
        <w:pStyle w:val="afe"/>
        <w:numPr>
          <w:ilvl w:val="1"/>
          <w:numId w:val="9"/>
        </w:numPr>
        <w:spacing w:afterLines="50" w:after="120"/>
        <w:ind w:leftChars="0"/>
        <w:jc w:val="both"/>
        <w:rPr>
          <w:rFonts w:eastAsiaTheme="minorEastAsia"/>
          <w:i/>
          <w:sz w:val="22"/>
        </w:rPr>
      </w:pPr>
      <w:r>
        <w:rPr>
          <w:rFonts w:eastAsiaTheme="minorEastAsia"/>
          <w:i/>
          <w:sz w:val="22"/>
        </w:rPr>
        <w:t>The subframes available for UL transmission can be common across LTE serving cells.</w:t>
      </w:r>
    </w:p>
    <w:p w14:paraId="2E94D2C1" w14:textId="77777777" w:rsidR="00CE64C1" w:rsidRPr="009C501E" w:rsidRDefault="00CE64C1" w:rsidP="00972C4A">
      <w:pPr>
        <w:spacing w:afterLines="50" w:after="120"/>
        <w:jc w:val="both"/>
        <w:rPr>
          <w:rFonts w:eastAsiaTheme="minorEastAsia"/>
          <w:sz w:val="22"/>
          <w:lang w:val="en-US"/>
        </w:rPr>
      </w:pPr>
    </w:p>
    <w:p w14:paraId="50BE2273" w14:textId="375977FD" w:rsidR="009C501E" w:rsidRPr="00E8048D" w:rsidRDefault="009C501E" w:rsidP="009C501E">
      <w:pPr>
        <w:pStyle w:val="2"/>
        <w:rPr>
          <w:rFonts w:eastAsiaTheme="minorEastAsia"/>
          <w:b/>
          <w:lang w:val="en-US"/>
        </w:rPr>
      </w:pPr>
      <w:r w:rsidRPr="00E8048D">
        <w:rPr>
          <w:rFonts w:eastAsia="DengXian"/>
          <w:b/>
          <w:lang w:val="en-US" w:eastAsia="zh-CN"/>
        </w:rPr>
        <w:t>2.</w:t>
      </w:r>
      <w:r w:rsidR="00B830AE">
        <w:rPr>
          <w:rFonts w:eastAsia="DengXian"/>
          <w:b/>
          <w:lang w:val="en-US" w:eastAsia="zh-CN"/>
        </w:rPr>
        <w:t>2</w:t>
      </w:r>
      <w:r w:rsidRPr="00E8048D">
        <w:rPr>
          <w:rFonts w:eastAsia="DengXian"/>
          <w:b/>
          <w:lang w:val="en-US" w:eastAsia="zh-CN"/>
        </w:rPr>
        <w:tab/>
      </w:r>
      <w:r>
        <w:rPr>
          <w:rFonts w:eastAsiaTheme="minorEastAsia" w:hint="eastAsia"/>
          <w:b/>
          <w:lang w:val="en-US"/>
        </w:rPr>
        <w:t>EN-DC with</w:t>
      </w:r>
      <w:r>
        <w:rPr>
          <w:rFonts w:eastAsiaTheme="minorEastAsia"/>
          <w:b/>
          <w:lang w:val="en-US"/>
        </w:rPr>
        <w:t xml:space="preserve"> TDD-</w:t>
      </w:r>
      <w:proofErr w:type="spellStart"/>
      <w:r>
        <w:rPr>
          <w:rFonts w:eastAsiaTheme="minorEastAsia"/>
          <w:b/>
          <w:lang w:val="en-US"/>
        </w:rPr>
        <w:t>PCell</w:t>
      </w:r>
      <w:proofErr w:type="spellEnd"/>
      <w:r>
        <w:rPr>
          <w:rFonts w:eastAsiaTheme="minorEastAsia"/>
          <w:b/>
          <w:lang w:val="en-US"/>
        </w:rPr>
        <w:t xml:space="preserve"> with</w:t>
      </w:r>
      <w:r>
        <w:rPr>
          <w:rFonts w:eastAsiaTheme="minorEastAsia" w:hint="eastAsia"/>
          <w:b/>
          <w:lang w:val="en-US"/>
        </w:rPr>
        <w:t xml:space="preserve"> DL-reference UL-DL configuration</w:t>
      </w:r>
    </w:p>
    <w:p w14:paraId="04E62C85" w14:textId="26D65D0B" w:rsidR="00C40F4A" w:rsidRDefault="004E6FCC" w:rsidP="00972C4A">
      <w:pPr>
        <w:spacing w:afterLines="50" w:after="120"/>
        <w:jc w:val="both"/>
        <w:rPr>
          <w:rFonts w:eastAsiaTheme="minorEastAsia"/>
          <w:sz w:val="22"/>
          <w:lang w:val="en-US"/>
        </w:rPr>
      </w:pPr>
      <w:r>
        <w:rPr>
          <w:rFonts w:eastAsiaTheme="minorEastAsia"/>
          <w:sz w:val="22"/>
          <w:lang w:val="en-US"/>
        </w:rPr>
        <w:t>As described 5</w:t>
      </w:r>
      <w:r w:rsidRPr="004E6FCC">
        <w:rPr>
          <w:rFonts w:eastAsiaTheme="minorEastAsia"/>
          <w:sz w:val="22"/>
          <w:vertAlign w:val="superscript"/>
          <w:lang w:val="en-US"/>
        </w:rPr>
        <w:t>th</w:t>
      </w:r>
      <w:r>
        <w:rPr>
          <w:rFonts w:eastAsiaTheme="minorEastAsia"/>
          <w:sz w:val="22"/>
          <w:lang w:val="en-US"/>
        </w:rPr>
        <w:t xml:space="preserve"> point above, for EN-DC with TDD-</w:t>
      </w:r>
      <w:proofErr w:type="spellStart"/>
      <w:r>
        <w:rPr>
          <w:rFonts w:eastAsiaTheme="minorEastAsia"/>
          <w:sz w:val="22"/>
          <w:lang w:val="en-US"/>
        </w:rPr>
        <w:t>PCell</w:t>
      </w:r>
      <w:proofErr w:type="spellEnd"/>
      <w:r>
        <w:rPr>
          <w:rFonts w:eastAsiaTheme="minorEastAsia"/>
          <w:sz w:val="22"/>
          <w:lang w:val="en-US"/>
        </w:rPr>
        <w:t xml:space="preserve">, specification does not support configuration of </w:t>
      </w:r>
      <w:r w:rsidRPr="004E6FCC">
        <w:rPr>
          <w:rFonts w:eastAsiaTheme="minorEastAsia"/>
          <w:i/>
          <w:sz w:val="22"/>
          <w:lang w:val="en-US"/>
        </w:rPr>
        <w:t>subframeAssignment-r15</w:t>
      </w:r>
      <w:r>
        <w:rPr>
          <w:rFonts w:eastAsiaTheme="minorEastAsia"/>
          <w:sz w:val="22"/>
          <w:lang w:val="en-US"/>
        </w:rPr>
        <w:t xml:space="preserve">. </w:t>
      </w:r>
      <w:r w:rsidR="00CE64C1">
        <w:rPr>
          <w:rFonts w:eastAsiaTheme="minorEastAsia"/>
          <w:sz w:val="22"/>
          <w:lang w:val="en-US"/>
        </w:rPr>
        <w:t xml:space="preserve">However, without </w:t>
      </w:r>
      <w:r w:rsidR="00CE64C1" w:rsidRPr="001376DF">
        <w:rPr>
          <w:rFonts w:eastAsiaTheme="minorEastAsia"/>
          <w:i/>
          <w:sz w:val="22"/>
          <w:lang w:val="en-US"/>
        </w:rPr>
        <w:t>subframeAssignment-r15</w:t>
      </w:r>
      <w:r w:rsidR="00CE64C1">
        <w:rPr>
          <w:rFonts w:eastAsiaTheme="minorEastAsia"/>
          <w:sz w:val="22"/>
          <w:lang w:val="en-US"/>
        </w:rPr>
        <w:t xml:space="preserve">, no use of one LTE UL subframe loses one or some LTE DL subframes. Figure 2 illustrates an example; if LTE UL subframe #7 is not available due to NR UL transmission, 4 subframes </w:t>
      </w:r>
      <w:r w:rsidR="00C73E31">
        <w:rPr>
          <w:rFonts w:eastAsiaTheme="minorEastAsia"/>
          <w:sz w:val="22"/>
          <w:lang w:val="en-US"/>
        </w:rPr>
        <w:t xml:space="preserve">(#0, #1, #3, #9) </w:t>
      </w:r>
      <w:r w:rsidR="00CE64C1">
        <w:rPr>
          <w:rFonts w:eastAsiaTheme="minorEastAsia"/>
          <w:sz w:val="22"/>
          <w:lang w:val="en-US"/>
        </w:rPr>
        <w:t>are lost</w:t>
      </w:r>
      <w:r w:rsidR="00C73E31">
        <w:rPr>
          <w:rFonts w:eastAsiaTheme="minorEastAsia"/>
          <w:sz w:val="22"/>
          <w:lang w:val="en-US"/>
        </w:rPr>
        <w:t xml:space="preserve"> for PDSCH allocation</w:t>
      </w:r>
      <w:r w:rsidR="00CE64C1">
        <w:rPr>
          <w:rFonts w:eastAsiaTheme="minorEastAsia"/>
          <w:sz w:val="22"/>
          <w:lang w:val="en-US"/>
        </w:rPr>
        <w:t>.</w:t>
      </w:r>
    </w:p>
    <w:p w14:paraId="359BFF5F" w14:textId="2793E8B7" w:rsidR="00CE64C1" w:rsidRDefault="007D4D42" w:rsidP="00972C4A">
      <w:pPr>
        <w:spacing w:afterLines="50" w:after="120"/>
        <w:jc w:val="both"/>
        <w:rPr>
          <w:rFonts w:eastAsiaTheme="minorEastAsia"/>
          <w:sz w:val="22"/>
          <w:lang w:val="en-US"/>
        </w:rPr>
      </w:pPr>
      <w:r w:rsidRPr="007D4D42">
        <w:rPr>
          <w:rFonts w:hint="eastAsia"/>
          <w:noProof/>
        </w:rPr>
        <w:drawing>
          <wp:inline distT="0" distB="0" distL="0" distR="0" wp14:anchorId="63B8F331" wp14:editId="3AA348A5">
            <wp:extent cx="6332220" cy="196596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965960"/>
                    </a:xfrm>
                    <a:prstGeom prst="rect">
                      <a:avLst/>
                    </a:prstGeom>
                    <a:noFill/>
                    <a:ln>
                      <a:noFill/>
                    </a:ln>
                  </pic:spPr>
                </pic:pic>
              </a:graphicData>
            </a:graphic>
          </wp:inline>
        </w:drawing>
      </w:r>
    </w:p>
    <w:p w14:paraId="0A58C642" w14:textId="613D901F" w:rsidR="00CE64C1" w:rsidRDefault="00CE64C1" w:rsidP="00CE64C1">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2</w:t>
      </w:r>
      <w:r>
        <w:rPr>
          <w:rFonts w:eastAsiaTheme="minorEastAsia"/>
          <w:sz w:val="22"/>
          <w:lang w:val="en-US"/>
        </w:rPr>
        <w:tab/>
        <w:t>Example of EN-DC with TDD-</w:t>
      </w:r>
      <w:proofErr w:type="spellStart"/>
      <w:r>
        <w:rPr>
          <w:rFonts w:eastAsiaTheme="minorEastAsia"/>
          <w:sz w:val="22"/>
          <w:lang w:val="en-US"/>
        </w:rPr>
        <w:t>PCell</w:t>
      </w:r>
      <w:proofErr w:type="spellEnd"/>
      <w:r>
        <w:rPr>
          <w:rFonts w:eastAsiaTheme="minorEastAsia"/>
          <w:sz w:val="22"/>
          <w:lang w:val="en-US"/>
        </w:rPr>
        <w:t xml:space="preserve"> without </w:t>
      </w:r>
      <w:r w:rsidRPr="00CE64C1">
        <w:rPr>
          <w:rFonts w:eastAsiaTheme="minorEastAsia"/>
          <w:i/>
          <w:sz w:val="22"/>
          <w:lang w:val="en-US"/>
        </w:rPr>
        <w:t>subframeAssignment-r15</w:t>
      </w:r>
      <w:r>
        <w:rPr>
          <w:rFonts w:eastAsiaTheme="minorEastAsia"/>
          <w:sz w:val="22"/>
          <w:lang w:val="en-US"/>
        </w:rPr>
        <w:t>.</w:t>
      </w:r>
    </w:p>
    <w:p w14:paraId="135C881E" w14:textId="6E070164" w:rsidR="009C501E" w:rsidRDefault="009C501E" w:rsidP="00972C4A">
      <w:pPr>
        <w:spacing w:afterLines="50" w:after="120"/>
        <w:jc w:val="both"/>
        <w:rPr>
          <w:rFonts w:eastAsiaTheme="minorEastAsia"/>
          <w:sz w:val="22"/>
          <w:lang w:val="en-US"/>
        </w:rPr>
      </w:pPr>
    </w:p>
    <w:p w14:paraId="653AAE5E" w14:textId="04658059"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2</w:t>
      </w:r>
      <w:r w:rsidRPr="002C288A">
        <w:rPr>
          <w:rFonts w:eastAsiaTheme="minorEastAsia"/>
          <w:b/>
          <w:sz w:val="22"/>
          <w:u w:val="single"/>
          <w:lang w:val="en-US"/>
        </w:rPr>
        <w:t>:</w:t>
      </w:r>
    </w:p>
    <w:p w14:paraId="13D00325" w14:textId="7538A121"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DL-reference UL-DL configuration for EN-DC with TDD-</w:t>
      </w:r>
      <w:proofErr w:type="spellStart"/>
      <w:r>
        <w:rPr>
          <w:rFonts w:eastAsiaTheme="minorEastAsia"/>
          <w:i/>
          <w:sz w:val="22"/>
        </w:rPr>
        <w:t>PCell</w:t>
      </w:r>
      <w:proofErr w:type="spellEnd"/>
      <w:r>
        <w:rPr>
          <w:rFonts w:eastAsiaTheme="minorEastAsia"/>
          <w:i/>
          <w:sz w:val="22"/>
        </w:rPr>
        <w:t>.</w:t>
      </w:r>
    </w:p>
    <w:p w14:paraId="1DCD3A1A" w14:textId="77777777" w:rsidR="002C288A" w:rsidRPr="002C288A" w:rsidRDefault="002C288A" w:rsidP="00972C4A">
      <w:pPr>
        <w:spacing w:afterLines="50" w:after="120"/>
        <w:jc w:val="both"/>
        <w:rPr>
          <w:rFonts w:eastAsiaTheme="minorEastAsia"/>
          <w:sz w:val="22"/>
        </w:rPr>
      </w:pPr>
    </w:p>
    <w:p w14:paraId="4E55B810" w14:textId="1ED7D6F4" w:rsidR="00B830AE" w:rsidRPr="002C288A" w:rsidRDefault="00B830AE" w:rsidP="00B830AE">
      <w:pPr>
        <w:pStyle w:val="2"/>
        <w:rPr>
          <w:rFonts w:eastAsiaTheme="minorEastAsia"/>
          <w:b/>
          <w:lang w:val="en-US"/>
        </w:rPr>
      </w:pPr>
      <w:r w:rsidRPr="00E8048D">
        <w:rPr>
          <w:rFonts w:eastAsia="DengXian"/>
          <w:b/>
          <w:lang w:val="en-US" w:eastAsia="zh-CN"/>
        </w:rPr>
        <w:lastRenderedPageBreak/>
        <w:t>2.</w:t>
      </w:r>
      <w:r>
        <w:rPr>
          <w:rFonts w:eastAsia="DengXian"/>
          <w:b/>
          <w:lang w:val="en-US" w:eastAsia="zh-CN"/>
        </w:rPr>
        <w:t>3</w:t>
      </w:r>
      <w:r w:rsidRPr="00E8048D">
        <w:rPr>
          <w:rFonts w:eastAsia="DengXian"/>
          <w:b/>
          <w:lang w:val="en-US" w:eastAsia="zh-CN"/>
        </w:rPr>
        <w:tab/>
      </w:r>
      <w:r w:rsidR="007C3B59">
        <w:rPr>
          <w:rFonts w:eastAsiaTheme="minorEastAsia"/>
          <w:b/>
          <w:lang w:val="en-US"/>
        </w:rPr>
        <w:t xml:space="preserve">Utilization of LTE UL subframes other than </w:t>
      </w:r>
      <w:r w:rsidR="002C288A" w:rsidRPr="002C288A">
        <w:rPr>
          <w:rFonts w:eastAsiaTheme="minorEastAsia"/>
          <w:b/>
          <w:lang w:val="en-US"/>
        </w:rPr>
        <w:t>offset-UL su</w:t>
      </w:r>
      <w:r w:rsidR="00A41E17">
        <w:rPr>
          <w:rFonts w:eastAsiaTheme="minorEastAsia"/>
          <w:b/>
          <w:lang w:val="en-US"/>
        </w:rPr>
        <w:t>b</w:t>
      </w:r>
      <w:r w:rsidR="002C288A" w:rsidRPr="002C288A">
        <w:rPr>
          <w:rFonts w:eastAsiaTheme="minorEastAsia"/>
          <w:b/>
          <w:lang w:val="en-US"/>
        </w:rPr>
        <w:t>frames</w:t>
      </w:r>
    </w:p>
    <w:p w14:paraId="5EBFB687" w14:textId="16514BBD" w:rsidR="00CE64C1" w:rsidRPr="00B830AE" w:rsidRDefault="002C288A" w:rsidP="00972C4A">
      <w:pPr>
        <w:spacing w:afterLines="50" w:after="120"/>
        <w:jc w:val="both"/>
        <w:rPr>
          <w:rFonts w:eastAsiaTheme="minorEastAsia"/>
          <w:sz w:val="22"/>
          <w:lang w:val="en-US"/>
        </w:rPr>
      </w:pPr>
      <w:r>
        <w:rPr>
          <w:rFonts w:eastAsiaTheme="minorEastAsia"/>
          <w:sz w:val="22"/>
          <w:lang w:val="en-US"/>
        </w:rPr>
        <w:t xml:space="preserve">Even if the functions in Section 2.1 and Section 2.2 are available, some LTE UL subframes that are not given by offset-UL subframes cannot be used for any UL transmissions. This is restrictive for EN-DC operation; if the NR UL is not utilized on the overlapped timing, LTE UL data transmission should be available. </w:t>
      </w:r>
    </w:p>
    <w:p w14:paraId="16382F6E" w14:textId="530C4AE0"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3</w:t>
      </w:r>
      <w:r w:rsidRPr="002C288A">
        <w:rPr>
          <w:rFonts w:eastAsiaTheme="minorEastAsia"/>
          <w:b/>
          <w:sz w:val="22"/>
          <w:u w:val="single"/>
          <w:lang w:val="en-US"/>
        </w:rPr>
        <w:t>:</w:t>
      </w:r>
    </w:p>
    <w:p w14:paraId="04804523" w14:textId="501B2775"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 xml:space="preserve">Consider </w:t>
      </w:r>
      <w:r w:rsidR="00A41E17">
        <w:rPr>
          <w:rFonts w:eastAsiaTheme="minorEastAsia"/>
          <w:i/>
          <w:sz w:val="22"/>
        </w:rPr>
        <w:t>enabling</w:t>
      </w:r>
      <w:r>
        <w:rPr>
          <w:rFonts w:eastAsiaTheme="minorEastAsia"/>
          <w:i/>
          <w:sz w:val="22"/>
        </w:rPr>
        <w:t xml:space="preserve"> UL transmission other than offset-UL subframes when available.</w:t>
      </w:r>
    </w:p>
    <w:p w14:paraId="17BE31E3" w14:textId="77777777" w:rsidR="00CE64C1" w:rsidRPr="002C288A" w:rsidRDefault="00CE64C1" w:rsidP="00972C4A">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2CFCDF54" w14:textId="69351ECF" w:rsidR="00CB09E2" w:rsidRPr="002C288A" w:rsidRDefault="002C288A" w:rsidP="002C288A">
      <w:pPr>
        <w:spacing w:afterLines="50" w:after="120"/>
        <w:jc w:val="both"/>
        <w:rPr>
          <w:rFonts w:eastAsiaTheme="minorEastAsia"/>
          <w:sz w:val="22"/>
        </w:rPr>
      </w:pPr>
      <w:r>
        <w:rPr>
          <w:rFonts w:eastAsiaTheme="minorEastAsia"/>
          <w:sz w:val="22"/>
        </w:rPr>
        <w:t>In this contribution, we discussed potential enhancements for EN-DC and proposed following:</w:t>
      </w:r>
    </w:p>
    <w:p w14:paraId="4C96B1CA" w14:textId="77777777"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roposal 1:</w:t>
      </w:r>
    </w:p>
    <w:p w14:paraId="4C2F7FA1" w14:textId="77777777" w:rsid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LTE UL-CA for EN-DC with DL-reference UL-DL configuration on LTE serving cell.</w:t>
      </w:r>
    </w:p>
    <w:p w14:paraId="554016E2" w14:textId="77777777" w:rsidR="002C288A" w:rsidRPr="002C288A" w:rsidRDefault="002C288A" w:rsidP="002C288A">
      <w:pPr>
        <w:pStyle w:val="afe"/>
        <w:numPr>
          <w:ilvl w:val="1"/>
          <w:numId w:val="9"/>
        </w:numPr>
        <w:spacing w:afterLines="50" w:after="120"/>
        <w:ind w:leftChars="0"/>
        <w:jc w:val="both"/>
        <w:rPr>
          <w:rFonts w:eastAsiaTheme="minorEastAsia"/>
          <w:i/>
          <w:sz w:val="22"/>
        </w:rPr>
      </w:pPr>
      <w:r>
        <w:rPr>
          <w:rFonts w:eastAsiaTheme="minorEastAsia"/>
          <w:i/>
          <w:sz w:val="22"/>
        </w:rPr>
        <w:t>The subframes available for UL transmission can be common across LTE serving cells.</w:t>
      </w:r>
    </w:p>
    <w:p w14:paraId="17F07CCE" w14:textId="77777777"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2</w:t>
      </w:r>
      <w:r w:rsidRPr="002C288A">
        <w:rPr>
          <w:rFonts w:eastAsiaTheme="minorEastAsia"/>
          <w:b/>
          <w:sz w:val="22"/>
          <w:u w:val="single"/>
          <w:lang w:val="en-US"/>
        </w:rPr>
        <w:t>:</w:t>
      </w:r>
    </w:p>
    <w:p w14:paraId="7FF0B28A" w14:textId="77777777"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DL-reference UL-DL configuration for EN-DC with TDD-</w:t>
      </w:r>
      <w:proofErr w:type="spellStart"/>
      <w:r>
        <w:rPr>
          <w:rFonts w:eastAsiaTheme="minorEastAsia"/>
          <w:i/>
          <w:sz w:val="22"/>
        </w:rPr>
        <w:t>PCell</w:t>
      </w:r>
      <w:proofErr w:type="spellEnd"/>
      <w:r>
        <w:rPr>
          <w:rFonts w:eastAsiaTheme="minorEastAsia"/>
          <w:i/>
          <w:sz w:val="22"/>
        </w:rPr>
        <w:t>.</w:t>
      </w:r>
    </w:p>
    <w:p w14:paraId="07FB69EA" w14:textId="77777777"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3</w:t>
      </w:r>
      <w:r w:rsidRPr="002C288A">
        <w:rPr>
          <w:rFonts w:eastAsiaTheme="minorEastAsia"/>
          <w:b/>
          <w:sz w:val="22"/>
          <w:u w:val="single"/>
          <w:lang w:val="en-US"/>
        </w:rPr>
        <w:t>:</w:t>
      </w:r>
    </w:p>
    <w:p w14:paraId="531AE3A3" w14:textId="3CC59AC1"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 xml:space="preserve">Consider </w:t>
      </w:r>
      <w:r w:rsidR="00A41E17">
        <w:rPr>
          <w:rFonts w:eastAsiaTheme="minorEastAsia"/>
          <w:i/>
          <w:sz w:val="22"/>
        </w:rPr>
        <w:t>enabling</w:t>
      </w:r>
      <w:r>
        <w:rPr>
          <w:rFonts w:eastAsiaTheme="minorEastAsia"/>
          <w:i/>
          <w:sz w:val="22"/>
        </w:rPr>
        <w:t xml:space="preserve"> UL transmission other than offset-UL subframes when available.</w:t>
      </w:r>
    </w:p>
    <w:p w14:paraId="16454597" w14:textId="77777777" w:rsidR="00C73E31" w:rsidRPr="002C288A" w:rsidRDefault="00C73E31" w:rsidP="00C73E31">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459004D8" w:rsidR="0036189E" w:rsidRDefault="0036189E" w:rsidP="00261AAE">
      <w:pPr>
        <w:pStyle w:val="afe"/>
        <w:numPr>
          <w:ilvl w:val="0"/>
          <w:numId w:val="4"/>
        </w:numPr>
        <w:spacing w:afterLines="50" w:after="120"/>
        <w:ind w:leftChars="0"/>
        <w:rPr>
          <w:rFonts w:eastAsia="SimSun"/>
          <w:sz w:val="22"/>
          <w:lang w:val="en-US" w:eastAsia="zh-CN"/>
        </w:rPr>
      </w:pPr>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w:t>
      </w:r>
      <w:r w:rsidR="00846430">
        <w:rPr>
          <w:rFonts w:eastAsia="SimSun"/>
          <w:sz w:val="22"/>
          <w:lang w:val="en-US" w:eastAsia="zh-CN"/>
        </w:rPr>
        <w:t>2076</w:t>
      </w:r>
      <w:r>
        <w:rPr>
          <w:rFonts w:eastAsia="SimSun"/>
          <w:sz w:val="22"/>
          <w:lang w:val="en-US" w:eastAsia="zh-CN"/>
        </w:rPr>
        <w:t>, ‘</w:t>
      </w:r>
      <w:r w:rsidR="00846430">
        <w:rPr>
          <w:rFonts w:eastAsia="SimSun"/>
          <w:sz w:val="22"/>
          <w:lang w:val="en-US" w:eastAsia="zh-CN"/>
        </w:rPr>
        <w:t>WID on Multi-RAT Dual-Connectivity and Carrier Aggregation enhancements (</w:t>
      </w:r>
      <w:proofErr w:type="spellStart"/>
      <w:r w:rsidR="00846430">
        <w:rPr>
          <w:rFonts w:eastAsia="SimSun"/>
          <w:sz w:val="22"/>
          <w:lang w:val="en-US" w:eastAsia="zh-CN"/>
        </w:rPr>
        <w:t>LTE_NR_DC_CA_enh_Core</w:t>
      </w:r>
      <w:proofErr w:type="spellEnd"/>
      <w:r w:rsidR="00846430">
        <w:rPr>
          <w:rFonts w:eastAsia="SimSun"/>
          <w:sz w:val="22"/>
          <w:lang w:val="en-US" w:eastAsia="zh-CN"/>
        </w:rPr>
        <w:t>)</w:t>
      </w:r>
      <w:r>
        <w:rPr>
          <w:rFonts w:eastAsia="SimSun"/>
          <w:sz w:val="22"/>
          <w:lang w:val="en-US" w:eastAsia="zh-CN"/>
        </w:rPr>
        <w:t xml:space="preserve">,’ </w:t>
      </w:r>
      <w:r w:rsidR="00846430">
        <w:rPr>
          <w:rFonts w:eastAsia="SimSun"/>
          <w:sz w:val="22"/>
          <w:lang w:val="en-US" w:eastAsia="zh-CN"/>
        </w:rPr>
        <w:t>Ericsson, Nokia, Nokia Shanghai Bell, Huawei</w:t>
      </w:r>
    </w:p>
    <w:p w14:paraId="4116B599" w14:textId="4919F557" w:rsidR="002F15C0" w:rsidRDefault="002F15C0" w:rsidP="00261AAE">
      <w:pPr>
        <w:pStyle w:val="afe"/>
        <w:numPr>
          <w:ilvl w:val="0"/>
          <w:numId w:val="4"/>
        </w:numPr>
        <w:spacing w:afterLines="50" w:after="120"/>
        <w:ind w:leftChars="0"/>
        <w:rPr>
          <w:rFonts w:eastAsia="SimSun"/>
          <w:sz w:val="22"/>
          <w:lang w:val="en-US" w:eastAsia="zh-CN"/>
        </w:rPr>
      </w:pPr>
      <w:r>
        <w:rPr>
          <w:rFonts w:eastAsiaTheme="minorEastAsia"/>
          <w:sz w:val="22"/>
          <w:lang w:val="en-US"/>
        </w:rPr>
        <w:t>3GPP TS38.101-3.</w:t>
      </w:r>
    </w:p>
    <w:p w14:paraId="6AFC131A" w14:textId="6B60B8E2" w:rsidR="00261AAE" w:rsidRPr="00C73E31" w:rsidRDefault="00261AAE" w:rsidP="00C73E31">
      <w:pPr>
        <w:spacing w:afterLines="50" w:after="120"/>
        <w:rPr>
          <w:rFonts w:eastAsia="SimSun"/>
          <w:sz w:val="22"/>
          <w:lang w:val="en-US" w:eastAsia="zh-CN"/>
        </w:rPr>
      </w:pPr>
    </w:p>
    <w:p w14:paraId="4177A416" w14:textId="5D093EC8" w:rsidR="00B1461C" w:rsidRDefault="00B1461C" w:rsidP="00B1461C">
      <w:pPr>
        <w:widowControl w:val="0"/>
        <w:spacing w:after="120"/>
        <w:jc w:val="both"/>
        <w:rPr>
          <w:sz w:val="22"/>
          <w:szCs w:val="22"/>
          <w:lang w:val="en-US"/>
        </w:rPr>
      </w:pPr>
    </w:p>
    <w:sectPr w:rsidR="00B1461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029A0" w14:textId="77777777" w:rsidR="00BB185D" w:rsidRDefault="00BB185D">
      <w:r>
        <w:separator/>
      </w:r>
    </w:p>
  </w:endnote>
  <w:endnote w:type="continuationSeparator" w:id="0">
    <w:p w14:paraId="46342FE1" w14:textId="77777777" w:rsidR="00BB185D" w:rsidRDefault="00BB185D">
      <w:r>
        <w:continuationSeparator/>
      </w:r>
    </w:p>
  </w:endnote>
  <w:endnote w:type="continuationNotice" w:id="1">
    <w:p w14:paraId="1A1CE47D" w14:textId="77777777" w:rsidR="00BB185D" w:rsidRDefault="00BB1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A943AC4"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40F4A">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40F4A">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4E1F2" w14:textId="77777777" w:rsidR="00BB185D" w:rsidRDefault="00BB185D">
      <w:r>
        <w:separator/>
      </w:r>
    </w:p>
  </w:footnote>
  <w:footnote w:type="continuationSeparator" w:id="0">
    <w:p w14:paraId="273327C5" w14:textId="77777777" w:rsidR="00BB185D" w:rsidRDefault="00BB185D">
      <w:r>
        <w:continuationSeparator/>
      </w:r>
    </w:p>
  </w:footnote>
  <w:footnote w:type="continuationNotice" w:id="1">
    <w:p w14:paraId="63B2B5F0" w14:textId="77777777" w:rsidR="00BB185D" w:rsidRDefault="00BB18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5005508"/>
    <w:multiLevelType w:val="hybridMultilevel"/>
    <w:tmpl w:val="11AC596C"/>
    <w:lvl w:ilvl="0" w:tplc="9A9CD7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978544E"/>
    <w:multiLevelType w:val="hybridMultilevel"/>
    <w:tmpl w:val="F27E94F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127F5"/>
    <w:multiLevelType w:val="hybridMultilevel"/>
    <w:tmpl w:val="C6703250"/>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7"/>
  </w:num>
  <w:num w:numId="4">
    <w:abstractNumId w:val="4"/>
  </w:num>
  <w:num w:numId="5">
    <w:abstractNumId w:val="22"/>
  </w:num>
  <w:num w:numId="6">
    <w:abstractNumId w:val="14"/>
  </w:num>
  <w:num w:numId="7">
    <w:abstractNumId w:val="19"/>
  </w:num>
  <w:num w:numId="8">
    <w:abstractNumId w:val="6"/>
  </w:num>
  <w:num w:numId="9">
    <w:abstractNumId w:val="3"/>
  </w:num>
  <w:num w:numId="10">
    <w:abstractNumId w:val="21"/>
  </w:num>
  <w:num w:numId="11">
    <w:abstractNumId w:val="8"/>
  </w:num>
  <w:num w:numId="12">
    <w:abstractNumId w:val="2"/>
  </w:num>
  <w:num w:numId="13">
    <w:abstractNumId w:val="20"/>
  </w:num>
  <w:num w:numId="14">
    <w:abstractNumId w:val="17"/>
  </w:num>
  <w:num w:numId="15">
    <w:abstractNumId w:val="13"/>
  </w:num>
  <w:num w:numId="16">
    <w:abstractNumId w:val="15"/>
  </w:num>
  <w:num w:numId="17">
    <w:abstractNumId w:val="1"/>
  </w:num>
  <w:num w:numId="18">
    <w:abstractNumId w:val="9"/>
  </w:num>
  <w:num w:numId="19">
    <w:abstractNumId w:val="16"/>
  </w:num>
  <w:num w:numId="20">
    <w:abstractNumId w:val="10"/>
  </w:num>
  <w:num w:numId="21">
    <w:abstractNumId w:val="5"/>
  </w:num>
  <w:num w:numId="22">
    <w:abstractNumId w:val="23"/>
  </w:num>
  <w:num w:numId="23">
    <w:abstractNumId w:val="11"/>
  </w:num>
  <w:num w:numId="2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EF8"/>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5B3"/>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DF"/>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58A"/>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8A"/>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5C0"/>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37A"/>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136"/>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FCC"/>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DBC"/>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B82"/>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AEE"/>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1E7"/>
    <w:rsid w:val="006A4338"/>
    <w:rsid w:val="006A480F"/>
    <w:rsid w:val="006A4B8E"/>
    <w:rsid w:val="006A4C70"/>
    <w:rsid w:val="006A50C3"/>
    <w:rsid w:val="006A5216"/>
    <w:rsid w:val="006A5B12"/>
    <w:rsid w:val="006A5F48"/>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54"/>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59"/>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D42"/>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5F1"/>
    <w:rsid w:val="00850757"/>
    <w:rsid w:val="008508FE"/>
    <w:rsid w:val="008512EC"/>
    <w:rsid w:val="00851413"/>
    <w:rsid w:val="0085145F"/>
    <w:rsid w:val="00851570"/>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858"/>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20"/>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01E"/>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DAF"/>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17"/>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A77"/>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2FE"/>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0AE"/>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85D"/>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0F4A"/>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E3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4C1"/>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1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0CE"/>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2DD"/>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110DBA0-A78F-41E8-A184-F95E5A4B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1811234">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58392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4232815">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2420731">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45950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577815">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315809">
      <w:bodyDiv w:val="1"/>
      <w:marLeft w:val="0"/>
      <w:marRight w:val="0"/>
      <w:marTop w:val="0"/>
      <w:marBottom w:val="0"/>
      <w:divBdr>
        <w:top w:val="none" w:sz="0" w:space="0" w:color="auto"/>
        <w:left w:val="none" w:sz="0" w:space="0" w:color="auto"/>
        <w:bottom w:val="none" w:sz="0" w:space="0" w:color="auto"/>
        <w:right w:val="none" w:sz="0" w:space="0" w:color="auto"/>
      </w:divBdr>
      <w:divsChild>
        <w:div w:id="851069513">
          <w:marLeft w:val="1310"/>
          <w:marRight w:val="0"/>
          <w:marTop w:val="77"/>
          <w:marBottom w:val="0"/>
          <w:divBdr>
            <w:top w:val="none" w:sz="0" w:space="0" w:color="auto"/>
            <w:left w:val="none" w:sz="0" w:space="0" w:color="auto"/>
            <w:bottom w:val="none" w:sz="0" w:space="0" w:color="auto"/>
            <w:right w:val="none" w:sz="0" w:space="0" w:color="auto"/>
          </w:divBdr>
        </w:div>
        <w:div w:id="1189832122">
          <w:marLeft w:val="1310"/>
          <w:marRight w:val="0"/>
          <w:marTop w:val="77"/>
          <w:marBottom w:val="0"/>
          <w:divBdr>
            <w:top w:val="none" w:sz="0" w:space="0" w:color="auto"/>
            <w:left w:val="none" w:sz="0" w:space="0" w:color="auto"/>
            <w:bottom w:val="none" w:sz="0" w:space="0" w:color="auto"/>
            <w:right w:val="none" w:sz="0" w:space="0" w:color="auto"/>
          </w:divBdr>
        </w:div>
        <w:div w:id="1674915619">
          <w:marLeft w:val="1310"/>
          <w:marRight w:val="0"/>
          <w:marTop w:val="77"/>
          <w:marBottom w:val="0"/>
          <w:divBdr>
            <w:top w:val="none" w:sz="0" w:space="0" w:color="auto"/>
            <w:left w:val="none" w:sz="0" w:space="0" w:color="auto"/>
            <w:bottom w:val="none" w:sz="0" w:space="0" w:color="auto"/>
            <w:right w:val="none" w:sz="0" w:space="0" w:color="auto"/>
          </w:divBdr>
        </w:div>
        <w:div w:id="30618490">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E1B9D-4707-4A4A-8C61-B8F42B14B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3745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2019-01-12T01:03:00Z</dcterms:created>
  <dcterms:modified xsi:type="dcterms:W3CDTF">2019-01-12T01:03:00Z</dcterms:modified>
</cp:coreProperties>
</file>